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0" w:rsidRPr="00AC7C7E" w:rsidRDefault="00FB69B7" w:rsidP="00FB69B7">
      <w:pPr>
        <w:pBdr>
          <w:bottom w:val="single" w:sz="4" w:space="1" w:color="auto"/>
        </w:pBd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Wahrnehmung – Vorüberlegungen und Übungen</w:t>
      </w:r>
    </w:p>
    <w:p w:rsidR="00D74076" w:rsidRPr="00D74076" w:rsidRDefault="00D74076">
      <w:pPr>
        <w:rPr>
          <w:b/>
          <w:lang w:val="de-DE"/>
        </w:rPr>
      </w:pPr>
      <w:r w:rsidRPr="00D74076">
        <w:rPr>
          <w:b/>
          <w:bdr w:val="single" w:sz="4" w:space="0" w:color="auto"/>
          <w:lang w:val="de-DE"/>
        </w:rPr>
        <w:t>Arbeitsaufgabe A2 (R, T)</w:t>
      </w:r>
    </w:p>
    <w:p w:rsidR="00A45380" w:rsidRDefault="00A45380">
      <w:pPr>
        <w:rPr>
          <w:lang w:val="de-DE"/>
        </w:rPr>
      </w:pPr>
      <w:r>
        <w:rPr>
          <w:lang w:val="de-DE"/>
        </w:rPr>
        <w:t xml:space="preserve">Überlege, ob du den folgenden Aussagen zustimmst oder ob du ihnen widersprichst. Versuche deine Positionierung argumentativ zu begründen. </w:t>
      </w:r>
      <w:r w:rsidR="00FB69B7">
        <w:rPr>
          <w:lang w:val="de-DE"/>
        </w:rPr>
        <w:t xml:space="preserve">Mache das bei zwei Aussagen schriftlich in Form eines Arguments. Suche dazu auch passende Beispiele, die deine Position veranschaulichen.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283"/>
        <w:gridCol w:w="287"/>
        <w:gridCol w:w="359"/>
      </w:tblGrid>
      <w:tr w:rsidR="00A45380" w:rsidTr="00AC7C7E">
        <w:tc>
          <w:tcPr>
            <w:tcW w:w="8330" w:type="dxa"/>
          </w:tcPr>
          <w:p w:rsidR="00A45380" w:rsidRDefault="00A45380" w:rsidP="00D74076">
            <w:pPr>
              <w:jc w:val="both"/>
              <w:rPr>
                <w:lang w:val="de-DE"/>
              </w:rPr>
            </w:pP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A45380" w:rsidTr="00AC7C7E">
        <w:tc>
          <w:tcPr>
            <w:tcW w:w="8330" w:type="dxa"/>
          </w:tcPr>
          <w:p w:rsidR="00A45380" w:rsidRPr="006244DF" w:rsidRDefault="00A45380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6244DF">
              <w:rPr>
                <w:lang w:val="de-DE"/>
              </w:rPr>
              <w:t xml:space="preserve">Die Welt, die wir wahrnehmen, ist unsere Erfindung. </w:t>
            </w:r>
            <w:r w:rsidR="00AC7C7E">
              <w:rPr>
                <w:lang w:val="de-DE"/>
              </w:rPr>
              <w:br/>
            </w:r>
            <w:r w:rsidRPr="006244DF">
              <w:rPr>
                <w:lang w:val="de-DE"/>
              </w:rPr>
              <w:t>(Heinz von Förster. Physiker und Vertreter des so genannten Radikalen Konstruktivismus.)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A45380" w:rsidTr="00AC7C7E">
        <w:tc>
          <w:tcPr>
            <w:tcW w:w="8330" w:type="dxa"/>
          </w:tcPr>
          <w:p w:rsidR="00A45380" w:rsidRPr="006244DF" w:rsidRDefault="00A45380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6244DF">
              <w:rPr>
                <w:lang w:val="de-DE"/>
              </w:rPr>
              <w:t xml:space="preserve">Wenn zwei Menschen im selben Raum nebeneinander stehen, nehmen sie auch dasselbe wahr. 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A45380" w:rsidTr="00AC7C7E">
        <w:tc>
          <w:tcPr>
            <w:tcW w:w="8330" w:type="dxa"/>
          </w:tcPr>
          <w:p w:rsidR="00A45380" w:rsidRPr="006244DF" w:rsidRDefault="00A45380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6244DF">
              <w:rPr>
                <w:lang w:val="de-DE"/>
              </w:rPr>
              <w:t xml:space="preserve">Wir nehmen häufig Objekte wahr, die gar nicht existieren. 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A45380" w:rsidTr="00AC7C7E">
        <w:tc>
          <w:tcPr>
            <w:tcW w:w="8330" w:type="dxa"/>
          </w:tcPr>
          <w:p w:rsidR="00A45380" w:rsidRPr="006244DF" w:rsidRDefault="00A45380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6244DF">
              <w:rPr>
                <w:lang w:val="de-DE"/>
              </w:rPr>
              <w:t xml:space="preserve">Ohne Gedächtnis gäbe es keine Wahrnehmung. 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A45380" w:rsidTr="00AC7C7E">
        <w:tc>
          <w:tcPr>
            <w:tcW w:w="8330" w:type="dxa"/>
          </w:tcPr>
          <w:p w:rsidR="00A45380" w:rsidRPr="006244DF" w:rsidRDefault="00A45380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6244DF">
              <w:rPr>
                <w:lang w:val="de-DE"/>
              </w:rPr>
              <w:t xml:space="preserve">Der Mensch ist – z. B. im Gegensatz zum Hund – ein Augentier. 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A45380" w:rsidTr="00AC7C7E">
        <w:tc>
          <w:tcPr>
            <w:tcW w:w="8330" w:type="dxa"/>
          </w:tcPr>
          <w:p w:rsidR="00A45380" w:rsidRPr="006244DF" w:rsidRDefault="006244DF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Gedankenexperiment: Ein Mensch, der blind geboren worden ist oder der als Kind erblindet ist, kann durch eine Augen-Operation körperlich wieder sehr gut sehen. Er wird die Welt </w:t>
            </w:r>
            <w:r w:rsidR="00D74076">
              <w:rPr>
                <w:lang w:val="de-DE"/>
              </w:rPr>
              <w:t xml:space="preserve">so sehen </w:t>
            </w:r>
            <w:r>
              <w:rPr>
                <w:lang w:val="de-DE"/>
              </w:rPr>
              <w:t xml:space="preserve">wie ein Mensch der immer gesehen hat. 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A45380" w:rsidTr="00AC7C7E">
        <w:tc>
          <w:tcPr>
            <w:tcW w:w="8330" w:type="dxa"/>
          </w:tcPr>
          <w:p w:rsidR="00A45380" w:rsidRPr="006244DF" w:rsidRDefault="006244DF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Anna (15) ist ein „Schmetterlingskind“. Das heißt, sie leidet an der seltenen Krankheit „</w:t>
            </w:r>
            <w:proofErr w:type="spellStart"/>
            <w:r w:rsidRPr="006244DF">
              <w:rPr>
                <w:lang w:val="de-DE"/>
              </w:rPr>
              <w:t>Epidermolysis</w:t>
            </w:r>
            <w:proofErr w:type="spellEnd"/>
            <w:r w:rsidRPr="006244DF">
              <w:rPr>
                <w:lang w:val="de-DE"/>
              </w:rPr>
              <w:t xml:space="preserve"> </w:t>
            </w:r>
            <w:proofErr w:type="spellStart"/>
            <w:r w:rsidRPr="006244DF">
              <w:rPr>
                <w:lang w:val="de-DE"/>
              </w:rPr>
              <w:t>bullosa</w:t>
            </w:r>
            <w:proofErr w:type="spellEnd"/>
            <w:r w:rsidRPr="006244DF">
              <w:rPr>
                <w:lang w:val="de-DE"/>
              </w:rPr>
              <w:t>."</w:t>
            </w:r>
            <w:r>
              <w:rPr>
                <w:lang w:val="de-DE"/>
              </w:rPr>
              <w:t xml:space="preserve"> Das Hauptsymptom der Krankheit ist, dass ihre Haut überempfindlich reagiert. Diese Krankheit schränkt Anna in ihrem Lebensalltag ganz extrem ein. 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A45380" w:rsidTr="00AC7C7E">
        <w:tc>
          <w:tcPr>
            <w:tcW w:w="8330" w:type="dxa"/>
          </w:tcPr>
          <w:p w:rsidR="00A45380" w:rsidRPr="006244DF" w:rsidRDefault="0075524B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Unser Gehirn führt uns manchmal in die Irre, wenn wir Wahrnehmungsreize (Empfindungen) </w:t>
            </w:r>
            <w:r w:rsidR="00D74076">
              <w:rPr>
                <w:lang w:val="de-DE"/>
              </w:rPr>
              <w:t xml:space="preserve">verarbeiten. </w:t>
            </w:r>
          </w:p>
        </w:tc>
        <w:tc>
          <w:tcPr>
            <w:tcW w:w="283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45380" w:rsidRDefault="00A45380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45380" w:rsidRDefault="00A45380">
            <w:pPr>
              <w:rPr>
                <w:lang w:val="de-DE"/>
              </w:rPr>
            </w:pPr>
          </w:p>
        </w:tc>
      </w:tr>
      <w:tr w:rsidR="0075524B" w:rsidTr="00AC7C7E">
        <w:tc>
          <w:tcPr>
            <w:tcW w:w="8330" w:type="dxa"/>
          </w:tcPr>
          <w:p w:rsidR="0075524B" w:rsidRDefault="0075524B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Unser Gehirn erfindet manchmal etwas dazu, wenn eine Wahrnehmung unvollständig ist. </w:t>
            </w:r>
            <w:r w:rsidR="00D74076">
              <w:rPr>
                <w:lang w:val="de-DE"/>
              </w:rPr>
              <w:t xml:space="preserve">Wir glauben dann etwas gesehen / wahrgenommen zu haben, was in Wirklichkeit gar nicht vorhanden ist / war. </w:t>
            </w:r>
          </w:p>
        </w:tc>
        <w:tc>
          <w:tcPr>
            <w:tcW w:w="283" w:type="dxa"/>
          </w:tcPr>
          <w:p w:rsidR="0075524B" w:rsidRDefault="0075524B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75524B" w:rsidRDefault="0075524B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75524B" w:rsidRDefault="0075524B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F5259F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Unsere Wahrnehmung ist durch den Evolutionsprozess geprägt worden.</w:t>
            </w:r>
            <w:r w:rsidR="00D74076">
              <w:rPr>
                <w:lang w:val="de-DE"/>
              </w:rPr>
              <w:t xml:space="preserve"> Wofür unsere Sinnesorgane empfänglich sind und wie wir Wahrnehmungsreize verarbeiten, macht(e) aus evolutionsbiologischer Perspektive Sinn. In der modernen Welt können diese „alten“ Programme aber manchmal auch zum Problem werden. 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F5259F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Unsere Wahrnehmung ist durch die Kultur, in der wir leben, beeinflusst. 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F5259F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Unsere Wahrnehmung ist durch unsere persönliche Lerngeschichte beeinflusst. 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F5259F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Unsere Wahrnehmung ist durch die Stimmung, in der wir uns momentan befinden, beeinflusst. 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AC7C7E" w:rsidTr="00AC7C7E">
        <w:tc>
          <w:tcPr>
            <w:tcW w:w="8330" w:type="dxa"/>
          </w:tcPr>
          <w:p w:rsidR="00AC7C7E" w:rsidRDefault="00AC7C7E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Wir nehmen das wahr, was wir wahrzunehmen erwarten. Was wir nicht erwarten, nehmen wir in vielen Fällen auch  nicht wahr, sondern blenden es aus. </w:t>
            </w:r>
          </w:p>
        </w:tc>
        <w:tc>
          <w:tcPr>
            <w:tcW w:w="283" w:type="dxa"/>
          </w:tcPr>
          <w:p w:rsidR="00AC7C7E" w:rsidRDefault="00AC7C7E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C7C7E" w:rsidRDefault="00AC7C7E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C7C7E" w:rsidRDefault="00AC7C7E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AC7C7E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Unsere Wahrnehmung ist durch angeborene, erfahrungsresistente Verarbeitungsmuster beeinflusst.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AC7C7E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Riechen und </w:t>
            </w:r>
            <w:proofErr w:type="spellStart"/>
            <w:r>
              <w:rPr>
                <w:lang w:val="de-DE"/>
              </w:rPr>
              <w:t>Schmecken</w:t>
            </w:r>
            <w:proofErr w:type="spellEnd"/>
            <w:r>
              <w:rPr>
                <w:lang w:val="de-DE"/>
              </w:rPr>
              <w:t xml:space="preserve"> sind Sinne, die für Menschen keine große Rolle spielen. 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AC7C7E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Die Haut ist unser „Kontaktsinn“. 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F5259F" w:rsidTr="00AC7C7E">
        <w:tc>
          <w:tcPr>
            <w:tcW w:w="8330" w:type="dxa"/>
          </w:tcPr>
          <w:p w:rsidR="00F5259F" w:rsidRDefault="00AC7C7E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Sehen und </w:t>
            </w:r>
            <w:proofErr w:type="spellStart"/>
            <w:r>
              <w:rPr>
                <w:lang w:val="de-DE"/>
              </w:rPr>
              <w:t>Hören</w:t>
            </w:r>
            <w:proofErr w:type="spellEnd"/>
            <w:r>
              <w:rPr>
                <w:lang w:val="de-DE"/>
              </w:rPr>
              <w:t xml:space="preserve"> gehören zu den „Fernsinnen“. Riechen, Schmecken und Tasten gehören zu den Nahsinnen. </w:t>
            </w:r>
          </w:p>
        </w:tc>
        <w:tc>
          <w:tcPr>
            <w:tcW w:w="283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F5259F" w:rsidRDefault="00F5259F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F5259F" w:rsidRDefault="00F5259F">
            <w:pPr>
              <w:rPr>
                <w:lang w:val="de-DE"/>
              </w:rPr>
            </w:pPr>
          </w:p>
        </w:tc>
      </w:tr>
      <w:tr w:rsidR="00AC7C7E" w:rsidTr="00AC7C7E">
        <w:tc>
          <w:tcPr>
            <w:tcW w:w="8330" w:type="dxa"/>
          </w:tcPr>
          <w:p w:rsidR="00AC7C7E" w:rsidRDefault="00AC7C7E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Der Geruchsinn ist am stärksten mit unserem Gefühlszentrum verbunden. </w:t>
            </w:r>
          </w:p>
        </w:tc>
        <w:tc>
          <w:tcPr>
            <w:tcW w:w="283" w:type="dxa"/>
          </w:tcPr>
          <w:p w:rsidR="00AC7C7E" w:rsidRDefault="00AC7C7E">
            <w:pPr>
              <w:rPr>
                <w:lang w:val="de-DE"/>
              </w:rPr>
            </w:pPr>
          </w:p>
        </w:tc>
        <w:tc>
          <w:tcPr>
            <w:tcW w:w="287" w:type="dxa"/>
          </w:tcPr>
          <w:p w:rsidR="00AC7C7E" w:rsidRDefault="00AC7C7E">
            <w:pPr>
              <w:rPr>
                <w:lang w:val="de-DE"/>
              </w:rPr>
            </w:pPr>
          </w:p>
        </w:tc>
        <w:tc>
          <w:tcPr>
            <w:tcW w:w="359" w:type="dxa"/>
          </w:tcPr>
          <w:p w:rsidR="00AC7C7E" w:rsidRDefault="00AC7C7E">
            <w:pPr>
              <w:rPr>
                <w:lang w:val="de-DE"/>
              </w:rPr>
            </w:pPr>
          </w:p>
        </w:tc>
      </w:tr>
      <w:tr w:rsidR="00AC7C7E" w:rsidRPr="00AC7C7E" w:rsidTr="00D74076">
        <w:trPr>
          <w:trHeight w:val="78"/>
        </w:trPr>
        <w:tc>
          <w:tcPr>
            <w:tcW w:w="8330" w:type="dxa"/>
          </w:tcPr>
          <w:p w:rsidR="00AC7C7E" w:rsidRPr="00AC7C7E" w:rsidRDefault="00AC7C7E" w:rsidP="00D74076">
            <w:pPr>
              <w:pStyle w:val="Listenabsatz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AC7C7E">
              <w:rPr>
                <w:lang w:val="en-GB"/>
              </w:rPr>
              <w:t xml:space="preserve">We don’t see things as they are. </w:t>
            </w:r>
            <w:r>
              <w:rPr>
                <w:lang w:val="en-GB"/>
              </w:rPr>
              <w:t>We see things as we are.” (Talmud)</w:t>
            </w:r>
          </w:p>
        </w:tc>
        <w:tc>
          <w:tcPr>
            <w:tcW w:w="283" w:type="dxa"/>
          </w:tcPr>
          <w:p w:rsidR="00AC7C7E" w:rsidRPr="00AC7C7E" w:rsidRDefault="00AC7C7E">
            <w:pPr>
              <w:rPr>
                <w:lang w:val="en-GB"/>
              </w:rPr>
            </w:pPr>
          </w:p>
        </w:tc>
        <w:tc>
          <w:tcPr>
            <w:tcW w:w="287" w:type="dxa"/>
          </w:tcPr>
          <w:p w:rsidR="00AC7C7E" w:rsidRPr="00AC7C7E" w:rsidRDefault="00AC7C7E">
            <w:pPr>
              <w:rPr>
                <w:lang w:val="en-GB"/>
              </w:rPr>
            </w:pPr>
          </w:p>
        </w:tc>
        <w:tc>
          <w:tcPr>
            <w:tcW w:w="359" w:type="dxa"/>
          </w:tcPr>
          <w:p w:rsidR="00AC7C7E" w:rsidRPr="00AC7C7E" w:rsidRDefault="00AC7C7E">
            <w:pPr>
              <w:rPr>
                <w:lang w:val="en-GB"/>
              </w:rPr>
            </w:pPr>
          </w:p>
        </w:tc>
      </w:tr>
    </w:tbl>
    <w:p w:rsidR="00A45380" w:rsidRDefault="00A45380">
      <w:pPr>
        <w:rPr>
          <w:lang w:val="en-GB"/>
        </w:rPr>
      </w:pPr>
      <w:bookmarkStart w:id="0" w:name="_GoBack"/>
      <w:bookmarkEnd w:id="0"/>
    </w:p>
    <w:p w:rsidR="00D74076" w:rsidRDefault="00D74076">
      <w:pPr>
        <w:rPr>
          <w:lang w:val="en-GB"/>
        </w:rPr>
      </w:pPr>
    </w:p>
    <w:p w:rsidR="00D74076" w:rsidRPr="00D74076" w:rsidRDefault="00D74076" w:rsidP="00D74076">
      <w:pPr>
        <w:rPr>
          <w:b/>
          <w:lang w:val="de-DE"/>
        </w:rPr>
      </w:pPr>
      <w:r>
        <w:rPr>
          <w:b/>
          <w:bdr w:val="single" w:sz="4" w:space="0" w:color="auto"/>
          <w:lang w:val="de-DE"/>
        </w:rPr>
        <w:lastRenderedPageBreak/>
        <w:t>Arbeitsaufgabe A3</w:t>
      </w:r>
      <w:r w:rsidRPr="00D74076">
        <w:rPr>
          <w:b/>
          <w:bdr w:val="single" w:sz="4" w:space="0" w:color="auto"/>
          <w:lang w:val="de-DE"/>
        </w:rPr>
        <w:t xml:space="preserve"> (R, T)</w:t>
      </w:r>
    </w:p>
    <w:p w:rsidR="00D74076" w:rsidRPr="00D74076" w:rsidRDefault="00D74076">
      <w:pPr>
        <w:rPr>
          <w:lang w:val="de-DE"/>
        </w:rPr>
      </w:pPr>
    </w:p>
    <w:p w:rsidR="00D74076" w:rsidRDefault="00AC7C7E" w:rsidP="00D74076">
      <w:pPr>
        <w:pStyle w:val="Listenabsatz"/>
        <w:numPr>
          <w:ilvl w:val="0"/>
          <w:numId w:val="2"/>
        </w:numPr>
      </w:pPr>
      <w:r w:rsidRPr="00AC7C7E">
        <w:t xml:space="preserve">Welche Funktion / welche Bedeutung hat Wahrnehmung </w:t>
      </w:r>
      <w:r>
        <w:t>im Schulunterricht. Welche Sinne haben eine große Bedeutung? Welche Sinne haben eher eine nachgeordnete Bedeutung? Denke an die Sinne Sehen, Hören, Riechen, Schmecken, Tasten/</w:t>
      </w:r>
      <w:proofErr w:type="spellStart"/>
      <w:r>
        <w:t>Hautsinn</w:t>
      </w:r>
      <w:proofErr w:type="spellEnd"/>
      <w:r w:rsidR="00D74076">
        <w:t>. Mache eine Tabelle nach dem folgenden Muster</w:t>
      </w:r>
      <w:r w:rsidR="00D74076">
        <w:br/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67"/>
        <w:gridCol w:w="7337"/>
      </w:tblGrid>
      <w:tr w:rsidR="00D74076" w:rsidTr="00D74076">
        <w:tc>
          <w:tcPr>
            <w:tcW w:w="1024" w:type="dxa"/>
          </w:tcPr>
          <w:p w:rsidR="00D74076" w:rsidRDefault="00D74076" w:rsidP="00D74076">
            <w:r>
              <w:t>Sehen</w:t>
            </w:r>
          </w:p>
        </w:tc>
        <w:tc>
          <w:tcPr>
            <w:tcW w:w="567" w:type="dxa"/>
          </w:tcPr>
          <w:p w:rsidR="00D74076" w:rsidRDefault="00D74076" w:rsidP="00D74076">
            <w:r>
              <w:t>++</w:t>
            </w:r>
          </w:p>
        </w:tc>
        <w:tc>
          <w:tcPr>
            <w:tcW w:w="7337" w:type="dxa"/>
          </w:tcPr>
          <w:p w:rsidR="00D74076" w:rsidRDefault="00D74076" w:rsidP="00D74076">
            <w:r>
              <w:t>Lesen von Texten, von der Tafel abschreiben, …</w:t>
            </w:r>
          </w:p>
        </w:tc>
      </w:tr>
      <w:tr w:rsidR="00D74076" w:rsidTr="00D74076">
        <w:tc>
          <w:tcPr>
            <w:tcW w:w="1024" w:type="dxa"/>
          </w:tcPr>
          <w:p w:rsidR="00D74076" w:rsidRDefault="00D74076" w:rsidP="00D74076">
            <w:r>
              <w:t>Riechen</w:t>
            </w:r>
          </w:p>
        </w:tc>
        <w:tc>
          <w:tcPr>
            <w:tcW w:w="567" w:type="dxa"/>
          </w:tcPr>
          <w:p w:rsidR="00D74076" w:rsidRDefault="00D74076" w:rsidP="00D74076">
            <w:r>
              <w:t>-</w:t>
            </w:r>
          </w:p>
        </w:tc>
        <w:tc>
          <w:tcPr>
            <w:tcW w:w="7337" w:type="dxa"/>
          </w:tcPr>
          <w:p w:rsidR="00D74076" w:rsidRDefault="00D74076" w:rsidP="00D74076"/>
        </w:tc>
      </w:tr>
      <w:tr w:rsidR="00D74076" w:rsidTr="00D74076">
        <w:tc>
          <w:tcPr>
            <w:tcW w:w="1024" w:type="dxa"/>
          </w:tcPr>
          <w:p w:rsidR="00D74076" w:rsidRDefault="00D74076" w:rsidP="00D74076"/>
        </w:tc>
        <w:tc>
          <w:tcPr>
            <w:tcW w:w="567" w:type="dxa"/>
          </w:tcPr>
          <w:p w:rsidR="00D74076" w:rsidRDefault="00D74076" w:rsidP="00D74076"/>
        </w:tc>
        <w:tc>
          <w:tcPr>
            <w:tcW w:w="7337" w:type="dxa"/>
          </w:tcPr>
          <w:p w:rsidR="00D74076" w:rsidRDefault="00D74076" w:rsidP="00D74076"/>
        </w:tc>
      </w:tr>
      <w:tr w:rsidR="00D74076" w:rsidTr="00D74076">
        <w:tc>
          <w:tcPr>
            <w:tcW w:w="1024" w:type="dxa"/>
          </w:tcPr>
          <w:p w:rsidR="00D74076" w:rsidRDefault="00D74076" w:rsidP="00D74076"/>
        </w:tc>
        <w:tc>
          <w:tcPr>
            <w:tcW w:w="567" w:type="dxa"/>
          </w:tcPr>
          <w:p w:rsidR="00D74076" w:rsidRDefault="00D74076" w:rsidP="00D74076"/>
        </w:tc>
        <w:tc>
          <w:tcPr>
            <w:tcW w:w="7337" w:type="dxa"/>
          </w:tcPr>
          <w:p w:rsidR="00D74076" w:rsidRDefault="00D74076" w:rsidP="00D74076"/>
        </w:tc>
      </w:tr>
    </w:tbl>
    <w:p w:rsidR="00AC7C7E" w:rsidRDefault="00D74076" w:rsidP="00D74076">
      <w:pPr>
        <w:pStyle w:val="Listenabsatz"/>
        <w:ind w:left="360"/>
      </w:pPr>
      <w:r>
        <w:br/>
      </w:r>
    </w:p>
    <w:p w:rsidR="00AC7C7E" w:rsidRDefault="00AC7C7E" w:rsidP="00AC7C7E">
      <w:pPr>
        <w:pStyle w:val="Listenabsatz"/>
        <w:numPr>
          <w:ilvl w:val="0"/>
          <w:numId w:val="2"/>
        </w:numPr>
      </w:pPr>
      <w:r>
        <w:t xml:space="preserve">In welchen Situationen hat der </w:t>
      </w:r>
      <w:proofErr w:type="spellStart"/>
      <w:r>
        <w:t>Hautsinn</w:t>
      </w:r>
      <w:proofErr w:type="spellEnd"/>
      <w:r>
        <w:t xml:space="preserve"> (Tasten, Wärme/Kälte) eine wichtige Funktion?</w:t>
      </w:r>
      <w:r w:rsidR="00D74076">
        <w:t xml:space="preserve"> Führe zwei bis drei Beispiele an. </w:t>
      </w:r>
    </w:p>
    <w:p w:rsidR="00D74076" w:rsidRDefault="00D74076" w:rsidP="00D74076">
      <w:pPr>
        <w:pStyle w:val="Listenabsatz"/>
        <w:ind w:left="360"/>
      </w:pPr>
    </w:p>
    <w:p w:rsidR="00FE7F2B" w:rsidRDefault="00FE7F2B" w:rsidP="00D74076">
      <w:pPr>
        <w:pStyle w:val="Listenabsatz"/>
        <w:ind w:left="360"/>
      </w:pPr>
    </w:p>
    <w:p w:rsidR="00FE7F2B" w:rsidRDefault="00FE7F2B" w:rsidP="00D74076">
      <w:pPr>
        <w:pStyle w:val="Listenabsatz"/>
        <w:ind w:left="360"/>
      </w:pPr>
    </w:p>
    <w:p w:rsidR="00D74076" w:rsidRDefault="00D74076" w:rsidP="00D74076">
      <w:pPr>
        <w:pStyle w:val="Listenabsatz"/>
        <w:ind w:left="360"/>
      </w:pPr>
    </w:p>
    <w:p w:rsidR="00AC7C7E" w:rsidRDefault="00AC7C7E" w:rsidP="00AC7C7E">
      <w:pPr>
        <w:pStyle w:val="Listenabsatz"/>
        <w:numPr>
          <w:ilvl w:val="0"/>
          <w:numId w:val="2"/>
        </w:numPr>
      </w:pPr>
      <w:r>
        <w:t>In welchen Situationen hat der Geruchsinn eine wichtige Funktion</w:t>
      </w:r>
      <w:proofErr w:type="gramStart"/>
      <w:r>
        <w:t>?</w:t>
      </w:r>
      <w:r w:rsidR="00D74076">
        <w:t>.</w:t>
      </w:r>
      <w:proofErr w:type="gramEnd"/>
      <w:r w:rsidR="00D74076">
        <w:t xml:space="preserve"> Führe zwei bis drei Beispiele an. </w:t>
      </w:r>
      <w:r w:rsidR="00D74076">
        <w:br/>
      </w:r>
    </w:p>
    <w:p w:rsidR="00FE7F2B" w:rsidRDefault="00FE7F2B" w:rsidP="00FE7F2B"/>
    <w:p w:rsidR="00D74076" w:rsidRDefault="00D74076" w:rsidP="00FE7F2B">
      <w:pPr>
        <w:pStyle w:val="Listenabsatz"/>
        <w:ind w:left="360"/>
      </w:pPr>
    </w:p>
    <w:p w:rsidR="00AC7C7E" w:rsidRDefault="00AC7C7E" w:rsidP="00AC7C7E">
      <w:pPr>
        <w:pStyle w:val="Listenabsatz"/>
        <w:numPr>
          <w:ilvl w:val="0"/>
          <w:numId w:val="2"/>
        </w:numPr>
      </w:pPr>
      <w:r>
        <w:t>In welchen Situationen hat der Geschmacksinn eine wichtige Funktion</w:t>
      </w:r>
      <w:proofErr w:type="gramStart"/>
      <w:r w:rsidR="0055770C">
        <w:t>?</w:t>
      </w:r>
      <w:r w:rsidR="00D74076">
        <w:t>.</w:t>
      </w:r>
      <w:proofErr w:type="gramEnd"/>
      <w:r w:rsidR="00D74076">
        <w:t xml:space="preserve"> Führe zwei bis drei Beispiele an. </w:t>
      </w:r>
    </w:p>
    <w:p w:rsidR="00D74076" w:rsidRDefault="00D74076" w:rsidP="00D74076"/>
    <w:p w:rsidR="00FE7F2B" w:rsidRDefault="00FE7F2B" w:rsidP="00D74076"/>
    <w:p w:rsidR="00FE7F2B" w:rsidRDefault="00FE7F2B" w:rsidP="00D74076"/>
    <w:p w:rsidR="00AC7C7E" w:rsidRPr="00AC7C7E" w:rsidRDefault="0055770C" w:rsidP="00D74076">
      <w:pPr>
        <w:pStyle w:val="Listenabsatz"/>
        <w:numPr>
          <w:ilvl w:val="0"/>
          <w:numId w:val="2"/>
        </w:num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C9F6547" wp14:editId="09FD5586">
            <wp:simplePos x="0" y="0"/>
            <wp:positionH relativeFrom="column">
              <wp:posOffset>3881120</wp:posOffset>
            </wp:positionH>
            <wp:positionV relativeFrom="paragraph">
              <wp:posOffset>-144145</wp:posOffset>
            </wp:positionV>
            <wp:extent cx="2049145" cy="2317750"/>
            <wp:effectExtent l="0" t="0" r="8255" b="6350"/>
            <wp:wrapTight wrapText="bothSides">
              <wp:wrapPolygon edited="0">
                <wp:start x="0" y="0"/>
                <wp:lineTo x="0" y="21482"/>
                <wp:lineTo x="21486" y="21482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ischer_homuncu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Die Haut ist unser größtes Sinnesorgan. Das Bild stellt einen „sensorischen Homunculus“ im Hinblick auf den </w:t>
      </w:r>
      <w:proofErr w:type="spellStart"/>
      <w:r>
        <w:t>Hautsinn</w:t>
      </w:r>
      <w:proofErr w:type="spellEnd"/>
      <w:r>
        <w:t xml:space="preserve">/Tastsinn dar. Versuche zu beschreiben, was er abbildet. Welche Schlussfolgerung über die Bedeutung des Tastens können wir aus der Abbildung ziehen? </w:t>
      </w:r>
      <w:r w:rsidR="00D74076">
        <w:t>Welche Körperregionen sind für taktile Reize besonders „empfänglich“? Welche Bedeutung ha</w:t>
      </w:r>
      <w:r w:rsidR="00FE7F2B">
        <w:t xml:space="preserve">t das für unseren Lebensalltag? Für welche Aktivitäten brauchen wir diese taktile Empfindlichkeit? </w:t>
      </w:r>
    </w:p>
    <w:p w:rsidR="00AC7C7E" w:rsidRPr="00AC7C7E" w:rsidRDefault="00AC7C7E"/>
    <w:sectPr w:rsidR="00AC7C7E" w:rsidRPr="00AC7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5A" w:rsidRDefault="005D175A" w:rsidP="0055770C">
      <w:pPr>
        <w:spacing w:after="0" w:line="240" w:lineRule="auto"/>
      </w:pPr>
      <w:r>
        <w:separator/>
      </w:r>
    </w:p>
  </w:endnote>
  <w:endnote w:type="continuationSeparator" w:id="0">
    <w:p w:rsidR="005D175A" w:rsidRDefault="005D175A" w:rsidP="0055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0C" w:rsidRDefault="005577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0C" w:rsidRDefault="005577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0C" w:rsidRDefault="005577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5A" w:rsidRDefault="005D175A" w:rsidP="0055770C">
      <w:pPr>
        <w:spacing w:after="0" w:line="240" w:lineRule="auto"/>
      </w:pPr>
      <w:r>
        <w:separator/>
      </w:r>
    </w:p>
  </w:footnote>
  <w:footnote w:type="continuationSeparator" w:id="0">
    <w:p w:rsidR="005D175A" w:rsidRDefault="005D175A" w:rsidP="0055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0C" w:rsidRDefault="005577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0C" w:rsidRDefault="0055770C">
    <w:pPr>
      <w:pStyle w:val="Kopfzeile"/>
    </w:pPr>
    <w:r>
      <w:t>Wahrnehmung 1: Vorüberlegungen zum Thema Wahrnehmung</w:t>
    </w:r>
  </w:p>
  <w:p w:rsidR="0055770C" w:rsidRDefault="005577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0C" w:rsidRDefault="005577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F07"/>
    <w:multiLevelType w:val="hybridMultilevel"/>
    <w:tmpl w:val="AFCC9844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172BF"/>
    <w:multiLevelType w:val="hybridMultilevel"/>
    <w:tmpl w:val="6B482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0"/>
    <w:rsid w:val="000E2171"/>
    <w:rsid w:val="0055770C"/>
    <w:rsid w:val="005D175A"/>
    <w:rsid w:val="006244DF"/>
    <w:rsid w:val="0075524B"/>
    <w:rsid w:val="0088534A"/>
    <w:rsid w:val="00984A3A"/>
    <w:rsid w:val="00A45380"/>
    <w:rsid w:val="00AC7C7E"/>
    <w:rsid w:val="00D74076"/>
    <w:rsid w:val="00D80EB4"/>
    <w:rsid w:val="00F5259F"/>
    <w:rsid w:val="00FB69B7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4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70C"/>
  </w:style>
  <w:style w:type="paragraph" w:styleId="Fuzeile">
    <w:name w:val="footer"/>
    <w:basedOn w:val="Standard"/>
    <w:link w:val="FuzeileZchn"/>
    <w:uiPriority w:val="99"/>
    <w:unhideWhenUsed/>
    <w:rsid w:val="0055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4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70C"/>
  </w:style>
  <w:style w:type="paragraph" w:styleId="Fuzeile">
    <w:name w:val="footer"/>
    <w:basedOn w:val="Standard"/>
    <w:link w:val="FuzeileZchn"/>
    <w:uiPriority w:val="99"/>
    <w:unhideWhenUsed/>
    <w:rsid w:val="0055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3</cp:revision>
  <dcterms:created xsi:type="dcterms:W3CDTF">2012-11-26T11:59:00Z</dcterms:created>
  <dcterms:modified xsi:type="dcterms:W3CDTF">2014-08-06T06:50:00Z</dcterms:modified>
</cp:coreProperties>
</file>