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46" w:rsidRPr="00332DD5" w:rsidRDefault="002948A1">
      <w:pPr>
        <w:pBdr>
          <w:bottom w:val="single" w:sz="6" w:space="1" w:color="auto"/>
        </w:pBdr>
        <w:rPr>
          <w:b/>
          <w:i/>
          <w:sz w:val="36"/>
          <w:szCs w:val="36"/>
          <w:u w:val="single"/>
        </w:rPr>
      </w:pPr>
      <w:r w:rsidRPr="00332DD5">
        <w:rPr>
          <w:b/>
          <w:i/>
          <w:sz w:val="36"/>
          <w:szCs w:val="36"/>
          <w:u w:val="single"/>
        </w:rPr>
        <w:t>Zypern und der Islam</w:t>
      </w:r>
    </w:p>
    <w:p w:rsidR="00332DD5" w:rsidRDefault="00332DD5">
      <w:pPr>
        <w:pBdr>
          <w:bottom w:val="single" w:sz="6" w:space="1" w:color="auto"/>
        </w:pBdr>
      </w:pPr>
    </w:p>
    <w:p w:rsidR="00332DD5" w:rsidRDefault="00332DD5"/>
    <w:p w:rsidR="006D4B31" w:rsidRDefault="006D4B31" w:rsidP="00332DD5">
      <w:r w:rsidRPr="006D4B31">
        <w:drawing>
          <wp:inline distT="0" distB="0" distL="0" distR="0">
            <wp:extent cx="2857500" cy="1905000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B31">
        <w:rPr>
          <w:noProof/>
          <w:lang w:eastAsia="de-AT"/>
        </w:rPr>
        <w:t xml:space="preserve"> </w:t>
      </w:r>
      <w:r w:rsidRPr="006D4B31">
        <w:drawing>
          <wp:inline distT="0" distB="0" distL="0" distR="0">
            <wp:extent cx="3170718" cy="1882248"/>
            <wp:effectExtent l="19050" t="0" r="0" b="0"/>
            <wp:docPr id="2" name="Bild 2" descr="http://www.welt.de/multimedia/archive/01347/zypern_nicholas_jp_1347150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http://www.welt.de/multimedia/archive/01347/zypern_nicholas_jp_1347150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309" cy="188259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D4B31" w:rsidRDefault="006D4B31" w:rsidP="00332DD5"/>
    <w:p w:rsidR="002948A1" w:rsidRPr="00332DD5" w:rsidRDefault="002948A1" w:rsidP="00332DD5">
      <w:r w:rsidRPr="00332DD5">
        <w:t xml:space="preserve">58 v. Chr. gelangte die Insel unter römische Herrschaft. Zypern blieb römisch und oströmisch/byzantinisch bis 1184, zuletzt unter Kaiser Isaak </w:t>
      </w:r>
      <w:proofErr w:type="spellStart"/>
      <w:r w:rsidRPr="00332DD5">
        <w:t>Komnenos</w:t>
      </w:r>
      <w:proofErr w:type="spellEnd"/>
      <w:r w:rsidRPr="00332DD5">
        <w:t xml:space="preserve">. Die Kreuzritter und die </w:t>
      </w:r>
      <w:proofErr w:type="spellStart"/>
      <w:r w:rsidRPr="00332DD5">
        <w:t>Lusignans</w:t>
      </w:r>
      <w:proofErr w:type="spellEnd"/>
      <w:r w:rsidRPr="00332DD5">
        <w:t xml:space="preserve"> beherrschten die Insel bis 1489, anschließend gehörte die Insel bis 1571 zur Republik Venedig, danach zum Osmanischen Reich.</w:t>
      </w:r>
    </w:p>
    <w:p w:rsidR="00E1355B" w:rsidRDefault="00E1355B" w:rsidP="00E1355B">
      <w:pPr>
        <w:pStyle w:val="Listenabsatz"/>
        <w:ind w:left="1428"/>
      </w:pPr>
    </w:p>
    <w:p w:rsidR="002948A1" w:rsidRDefault="002948A1" w:rsidP="002948A1">
      <w:pPr>
        <w:pStyle w:val="Listenabsatz"/>
        <w:numPr>
          <w:ilvl w:val="0"/>
          <w:numId w:val="1"/>
        </w:numPr>
      </w:pPr>
      <w:r>
        <w:t xml:space="preserve">1878 Zypern wird an Großbritannien verpachtet. </w:t>
      </w:r>
    </w:p>
    <w:p w:rsidR="002948A1" w:rsidRDefault="002948A1" w:rsidP="002948A1">
      <w:pPr>
        <w:pStyle w:val="Listenabsatz"/>
        <w:numPr>
          <w:ilvl w:val="0"/>
          <w:numId w:val="1"/>
        </w:numPr>
      </w:pPr>
      <w:r>
        <w:t xml:space="preserve">Zypern gehörte formal bis 1923 zur Türkei </w:t>
      </w:r>
    </w:p>
    <w:p w:rsidR="002948A1" w:rsidRDefault="002948A1" w:rsidP="002948A1">
      <w:pPr>
        <w:pStyle w:val="Listenabsatz"/>
        <w:numPr>
          <w:ilvl w:val="0"/>
          <w:numId w:val="1"/>
        </w:numPr>
      </w:pPr>
      <w:r>
        <w:t>1925 wurde Zypern Kronkolonie von GB</w:t>
      </w:r>
    </w:p>
    <w:p w:rsidR="002948A1" w:rsidRDefault="002948A1" w:rsidP="002948A1">
      <w:pPr>
        <w:pStyle w:val="Listenabsatz"/>
        <w:numPr>
          <w:ilvl w:val="0"/>
          <w:numId w:val="1"/>
        </w:numPr>
      </w:pPr>
      <w:r>
        <w:t xml:space="preserve">1960: Zypern wird unabhängig </w:t>
      </w:r>
    </w:p>
    <w:p w:rsidR="002948A1" w:rsidRDefault="002948A1" w:rsidP="002948A1"/>
    <w:p w:rsidR="000B45F5" w:rsidRDefault="000B45F5" w:rsidP="002948A1">
      <w:r>
        <w:t>Griechische Muslime leben heute größtenteils in der Türkei, Griechenland und auf Zypern.  Viele  Vor</w:t>
      </w:r>
      <w:r w:rsidR="00F71E62">
        <w:t>fahren der Griechischer Muslime</w:t>
      </w:r>
      <w:r>
        <w:t xml:space="preserve"> waren vor der Zeit des Osmanischen Reiches christlich, sind aber zur Zeit des Osmanischen Reiches zum Islam konvertier</w:t>
      </w:r>
      <w:r w:rsidR="00F71E62">
        <w:t>t, da es bestimmte Vorteile gab:</w:t>
      </w:r>
      <w:r>
        <w:t xml:space="preserve"> </w:t>
      </w:r>
    </w:p>
    <w:p w:rsidR="000B45F5" w:rsidRDefault="000B45F5" w:rsidP="000B45F5">
      <w:pPr>
        <w:pStyle w:val="Listenabsatz"/>
        <w:numPr>
          <w:ilvl w:val="0"/>
          <w:numId w:val="2"/>
        </w:numPr>
      </w:pPr>
      <w:r>
        <w:t>Ökonomische und gesellschaftliche Vorteile</w:t>
      </w:r>
    </w:p>
    <w:p w:rsidR="000B45F5" w:rsidRDefault="000B45F5" w:rsidP="000B45F5">
      <w:pPr>
        <w:pStyle w:val="Listenabsatz"/>
        <w:numPr>
          <w:ilvl w:val="0"/>
          <w:numId w:val="2"/>
        </w:numPr>
      </w:pPr>
      <w:r>
        <w:t xml:space="preserve">Muslime wurden von bestimmten Steuern befreit </w:t>
      </w:r>
    </w:p>
    <w:p w:rsidR="000B45F5" w:rsidRDefault="000B45F5" w:rsidP="000B45F5">
      <w:pPr>
        <w:pStyle w:val="Listenabsatz"/>
        <w:numPr>
          <w:ilvl w:val="0"/>
          <w:numId w:val="2"/>
        </w:numPr>
      </w:pPr>
      <w:r>
        <w:lastRenderedPageBreak/>
        <w:t>Neue Arbeitsmöglichkeiten (Bürokratie und Militär</w:t>
      </w:r>
      <w:r w:rsidR="00F71E62">
        <w:t xml:space="preserve"> des Osmanischen Reiches</w:t>
      </w:r>
      <w:r>
        <w:t>)</w:t>
      </w:r>
    </w:p>
    <w:p w:rsidR="002948A1" w:rsidRDefault="002948A1"/>
    <w:p w:rsidR="00241131" w:rsidRDefault="00241131"/>
    <w:p w:rsidR="00F71E62" w:rsidRDefault="00F71E62"/>
    <w:p w:rsidR="00F71E62" w:rsidRPr="00E1355B" w:rsidRDefault="00F71E62">
      <w:pPr>
        <w:rPr>
          <w:b/>
          <w:sz w:val="32"/>
          <w:szCs w:val="32"/>
        </w:rPr>
      </w:pPr>
      <w:r w:rsidRPr="00E1355B">
        <w:rPr>
          <w:b/>
          <w:sz w:val="32"/>
          <w:szCs w:val="32"/>
        </w:rPr>
        <w:t>Zypern-Türken und Zypern-Griechen</w:t>
      </w:r>
    </w:p>
    <w:p w:rsidR="00F71E62" w:rsidRDefault="00F71E62"/>
    <w:p w:rsidR="00F71E62" w:rsidRDefault="00F71E62" w:rsidP="00E1355B">
      <w:pPr>
        <w:ind w:firstLine="360"/>
      </w:pPr>
      <w:r>
        <w:t>Zypern-Türken</w:t>
      </w:r>
      <w:r w:rsidR="00332DD5">
        <w:t xml:space="preserve"> („Zyprer“)</w:t>
      </w:r>
      <w:r>
        <w:t>:</w:t>
      </w:r>
    </w:p>
    <w:p w:rsidR="00F71E62" w:rsidRDefault="00F71E62" w:rsidP="00F71E62">
      <w:pPr>
        <w:pStyle w:val="Listenabsatz"/>
        <w:numPr>
          <w:ilvl w:val="0"/>
          <w:numId w:val="3"/>
        </w:numPr>
      </w:pPr>
      <w:r>
        <w:t>Einwohner Zyperns, die türkisch sprechen.</w:t>
      </w:r>
    </w:p>
    <w:p w:rsidR="00F71E62" w:rsidRDefault="00F71E62" w:rsidP="00332DD5">
      <w:pPr>
        <w:pStyle w:val="Listenabsatz"/>
        <w:numPr>
          <w:ilvl w:val="0"/>
          <w:numId w:val="3"/>
        </w:numPr>
      </w:pPr>
      <w:r>
        <w:t>Leben gr</w:t>
      </w:r>
      <w:r w:rsidR="00332DD5">
        <w:t>ößtenteils im Norden der Insel (</w:t>
      </w:r>
      <w:r>
        <w:t>bilden dort 99% der Bevölkerung)</w:t>
      </w:r>
    </w:p>
    <w:p w:rsidR="00332DD5" w:rsidRDefault="00332DD5" w:rsidP="00332DD5">
      <w:pPr>
        <w:pStyle w:val="Listenabsatz"/>
        <w:numPr>
          <w:ilvl w:val="0"/>
          <w:numId w:val="3"/>
        </w:numPr>
      </w:pPr>
      <w:r>
        <w:t>Sunnitische Muslime</w:t>
      </w:r>
    </w:p>
    <w:p w:rsidR="00332DD5" w:rsidRDefault="00332DD5" w:rsidP="00332DD5">
      <w:pPr>
        <w:pStyle w:val="Listenabsatz"/>
        <w:numPr>
          <w:ilvl w:val="0"/>
          <w:numId w:val="3"/>
        </w:numPr>
      </w:pPr>
      <w:r>
        <w:t xml:space="preserve">Türkische Republik Nordzypern (wird nur von der Türkei als unabhängiger Staat anerkannt) </w:t>
      </w:r>
    </w:p>
    <w:p w:rsidR="00332DD5" w:rsidRDefault="00332DD5" w:rsidP="00332DD5"/>
    <w:p w:rsidR="00332DD5" w:rsidRDefault="00332DD5" w:rsidP="00E1355B">
      <w:pPr>
        <w:ind w:firstLine="393"/>
      </w:pPr>
      <w:r>
        <w:t>Zypern-Griechen („Zyprioten“):</w:t>
      </w:r>
    </w:p>
    <w:p w:rsidR="00332DD5" w:rsidRDefault="00332DD5" w:rsidP="00332DD5">
      <w:pPr>
        <w:pStyle w:val="Listenabsatz"/>
        <w:numPr>
          <w:ilvl w:val="0"/>
          <w:numId w:val="4"/>
        </w:numPr>
      </w:pPr>
      <w:r>
        <w:t>Betrachten sich sprachlich und kulturell als griechisch</w:t>
      </w:r>
    </w:p>
    <w:p w:rsidR="00332DD5" w:rsidRDefault="00332DD5" w:rsidP="00332DD5">
      <w:pPr>
        <w:pStyle w:val="Listenabsatz"/>
        <w:numPr>
          <w:ilvl w:val="0"/>
          <w:numId w:val="4"/>
        </w:numPr>
      </w:pPr>
      <w:r>
        <w:t xml:space="preserve">Leben heute größtenteils im Süden der Insel </w:t>
      </w:r>
    </w:p>
    <w:p w:rsidR="00332DD5" w:rsidRDefault="00332DD5" w:rsidP="00332DD5">
      <w:pPr>
        <w:pStyle w:val="Listenabsatz"/>
        <w:numPr>
          <w:ilvl w:val="0"/>
          <w:numId w:val="4"/>
        </w:numPr>
      </w:pPr>
      <w:r>
        <w:t xml:space="preserve">Etwa 80% der Bevölkerung gehören der zypriotischen-Orthodoxen Kirche an und sprechen zypriotisches Griechisch </w:t>
      </w:r>
    </w:p>
    <w:p w:rsidR="00E1355B" w:rsidRDefault="00E1355B" w:rsidP="00E1355B"/>
    <w:p w:rsidR="00E1355B" w:rsidRDefault="00E1355B" w:rsidP="00E1355B"/>
    <w:p w:rsidR="00402195" w:rsidRPr="00910EB3" w:rsidRDefault="00402195" w:rsidP="00E1355B">
      <w:pPr>
        <w:rPr>
          <w:b/>
          <w:sz w:val="32"/>
          <w:szCs w:val="32"/>
        </w:rPr>
      </w:pPr>
      <w:r w:rsidRPr="00910EB3">
        <w:rPr>
          <w:b/>
          <w:sz w:val="32"/>
          <w:szCs w:val="32"/>
        </w:rPr>
        <w:t>Türkische Republik Nordzypern</w:t>
      </w:r>
    </w:p>
    <w:p w:rsidR="00402195" w:rsidRDefault="00402195" w:rsidP="00E1355B"/>
    <w:p w:rsidR="00402195" w:rsidRDefault="00623878" w:rsidP="00402195">
      <w:pPr>
        <w:pStyle w:val="Listenabsatz"/>
        <w:numPr>
          <w:ilvl w:val="0"/>
          <w:numId w:val="5"/>
        </w:numPr>
      </w:pPr>
      <w:r>
        <w:t>Staatsform: Parlamentarische Republik (De-facto-Regime)</w:t>
      </w:r>
    </w:p>
    <w:p w:rsidR="00623878" w:rsidRDefault="00623878" w:rsidP="00402195">
      <w:pPr>
        <w:pStyle w:val="Listenabsatz"/>
        <w:numPr>
          <w:ilvl w:val="0"/>
          <w:numId w:val="5"/>
        </w:numPr>
      </w:pPr>
      <w:r>
        <w:t>Amtssprache: Türkisch</w:t>
      </w:r>
    </w:p>
    <w:p w:rsidR="00623878" w:rsidRDefault="00623878" w:rsidP="00402195">
      <w:pPr>
        <w:pStyle w:val="Listenabsatz"/>
        <w:numPr>
          <w:ilvl w:val="0"/>
          <w:numId w:val="5"/>
        </w:numPr>
      </w:pPr>
      <w:r>
        <w:t>Währung: Türkische Lira (Der Euro wird aber als Mittel genutzt, um die Unabhängigkeit von  der Türkei zu gewährleisten und um innerzyprischen Handel zu fördern)</w:t>
      </w:r>
    </w:p>
    <w:p w:rsidR="00623878" w:rsidRDefault="00623878" w:rsidP="00402195">
      <w:pPr>
        <w:pStyle w:val="Listenabsatz"/>
        <w:numPr>
          <w:ilvl w:val="0"/>
          <w:numId w:val="5"/>
        </w:numPr>
      </w:pPr>
      <w:r>
        <w:t>Hauptstadt: Nikosia</w:t>
      </w:r>
    </w:p>
    <w:p w:rsidR="00623878" w:rsidRDefault="00623878" w:rsidP="00402195">
      <w:pPr>
        <w:pStyle w:val="Listenabsatz"/>
        <w:numPr>
          <w:ilvl w:val="0"/>
          <w:numId w:val="5"/>
        </w:numPr>
      </w:pPr>
      <w:r>
        <w:t xml:space="preserve">Nur von der Türkei anerkannt </w:t>
      </w:r>
    </w:p>
    <w:p w:rsidR="00623878" w:rsidRDefault="00623878" w:rsidP="00402195">
      <w:pPr>
        <w:pStyle w:val="Listenabsatz"/>
        <w:numPr>
          <w:ilvl w:val="0"/>
          <w:numId w:val="5"/>
        </w:numPr>
      </w:pPr>
      <w:r>
        <w:t>Sondergebiet der Europäischen Union (EU geht von einer Unteilbarkeit der Insel aus)</w:t>
      </w:r>
    </w:p>
    <w:p w:rsidR="00623878" w:rsidRDefault="00623878" w:rsidP="00402195">
      <w:pPr>
        <w:pStyle w:val="Listenabsatz"/>
        <w:numPr>
          <w:ilvl w:val="0"/>
          <w:numId w:val="5"/>
        </w:numPr>
      </w:pPr>
      <w:r>
        <w:t xml:space="preserve">„Green Line“ (seit 2004): Demilitarisierte Zone zwischen beiden Landesteilen, die nicht als EU-Außengrenze betrachtet wird. (Güter- und Personenverkehr wird erleichtert)  </w:t>
      </w:r>
    </w:p>
    <w:p w:rsidR="00E1355B" w:rsidRDefault="00E1355B" w:rsidP="00332DD5"/>
    <w:sectPr w:rsidR="00E1355B" w:rsidSect="002432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CE3"/>
    <w:multiLevelType w:val="hybridMultilevel"/>
    <w:tmpl w:val="85D4B4A2"/>
    <w:lvl w:ilvl="0" w:tplc="0C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1BD97913"/>
    <w:multiLevelType w:val="hybridMultilevel"/>
    <w:tmpl w:val="5120BBC2"/>
    <w:lvl w:ilvl="0" w:tplc="0C07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28B735A7"/>
    <w:multiLevelType w:val="hybridMultilevel"/>
    <w:tmpl w:val="D3E235A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3C6C72"/>
    <w:multiLevelType w:val="hybridMultilevel"/>
    <w:tmpl w:val="52FAD86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566EBF"/>
    <w:multiLevelType w:val="hybridMultilevel"/>
    <w:tmpl w:val="C7545DB6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48A1"/>
    <w:rsid w:val="000B45F5"/>
    <w:rsid w:val="00241131"/>
    <w:rsid w:val="00243246"/>
    <w:rsid w:val="002948A1"/>
    <w:rsid w:val="00332DD5"/>
    <w:rsid w:val="003941AA"/>
    <w:rsid w:val="00402195"/>
    <w:rsid w:val="00422522"/>
    <w:rsid w:val="00445F97"/>
    <w:rsid w:val="005132AB"/>
    <w:rsid w:val="005F21C1"/>
    <w:rsid w:val="00623878"/>
    <w:rsid w:val="006C02D3"/>
    <w:rsid w:val="006D4B31"/>
    <w:rsid w:val="009027AF"/>
    <w:rsid w:val="00910EB3"/>
    <w:rsid w:val="00B93969"/>
    <w:rsid w:val="00D57AEC"/>
    <w:rsid w:val="00E1355B"/>
    <w:rsid w:val="00F5346D"/>
    <w:rsid w:val="00F7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24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2948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948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nb-meusbjoe</dc:creator>
  <cp:lastModifiedBy>nb-meusbjoe</cp:lastModifiedBy>
  <cp:revision>8</cp:revision>
  <dcterms:created xsi:type="dcterms:W3CDTF">2013-04-10T07:44:00Z</dcterms:created>
  <dcterms:modified xsi:type="dcterms:W3CDTF">2013-04-17T07:42:00Z</dcterms:modified>
</cp:coreProperties>
</file>