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84" w:rsidRPr="0030335D" w:rsidRDefault="0030335D" w:rsidP="0030335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30335D">
        <w:rPr>
          <w:b/>
          <w:sz w:val="28"/>
          <w:szCs w:val="28"/>
        </w:rPr>
        <w:t xml:space="preserve">Warum kann um 600 </w:t>
      </w:r>
      <w:proofErr w:type="spellStart"/>
      <w:r w:rsidRPr="0030335D">
        <w:rPr>
          <w:b/>
          <w:sz w:val="28"/>
          <w:szCs w:val="28"/>
        </w:rPr>
        <w:t>vuZ</w:t>
      </w:r>
      <w:proofErr w:type="spellEnd"/>
      <w:r w:rsidRPr="0030335D">
        <w:rPr>
          <w:b/>
          <w:sz w:val="28"/>
          <w:szCs w:val="28"/>
        </w:rPr>
        <w:t xml:space="preserve"> etwas beginnen, was wir heute Philosophie nennen?</w:t>
      </w:r>
    </w:p>
    <w:p w:rsidR="0030335D" w:rsidRDefault="0030335D">
      <w:r>
        <w:t xml:space="preserve">„Das, was ist in Griechenland um 600 </w:t>
      </w:r>
      <w:proofErr w:type="spellStart"/>
      <w:r>
        <w:t>vuZ</w:t>
      </w:r>
      <w:proofErr w:type="spellEnd"/>
      <w:r>
        <w:t>. Beginnt, ist ein großer historischer Glücksfall“ (H. Heuser: Als die Götter lachen lernten)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335D" w:rsidTr="0030335D">
        <w:tc>
          <w:tcPr>
            <w:tcW w:w="4531" w:type="dxa"/>
          </w:tcPr>
          <w:p w:rsidR="0030335D" w:rsidRPr="0030335D" w:rsidRDefault="0030335D" w:rsidP="0030335D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de-AT"/>
              </w:rPr>
            </w:pPr>
            <w:r w:rsidRPr="0030335D"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de-AT"/>
              </w:rPr>
              <w:t>Historische Bedingungen</w:t>
            </w:r>
          </w:p>
        </w:tc>
        <w:tc>
          <w:tcPr>
            <w:tcW w:w="4531" w:type="dxa"/>
          </w:tcPr>
          <w:p w:rsidR="0030335D" w:rsidRPr="0030335D" w:rsidRDefault="0030335D" w:rsidP="0030335D">
            <w:pPr>
              <w:jc w:val="center"/>
              <w:rPr>
                <w:b/>
              </w:rPr>
            </w:pPr>
            <w:r w:rsidRPr="0030335D">
              <w:rPr>
                <w:b/>
              </w:rPr>
              <w:t>Auswirkungen auf Kultur und Denkentwicklung</w:t>
            </w:r>
          </w:p>
        </w:tc>
      </w:tr>
      <w:tr w:rsidR="0030335D" w:rsidTr="0030335D">
        <w:tc>
          <w:tcPr>
            <w:tcW w:w="4531" w:type="dxa"/>
          </w:tcPr>
          <w:p w:rsidR="0030335D" w:rsidRDefault="0030335D" w:rsidP="0030335D">
            <w:pPr>
              <w:shd w:val="clear" w:color="auto" w:fill="FFFFFF"/>
              <w:spacing w:before="100" w:beforeAutospacing="1" w:after="100" w:afterAutospacing="1" w:line="270" w:lineRule="atLeast"/>
            </w:pPr>
            <w:r w:rsidRPr="0030335D"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  <w:t>In vielen Städten (vor allem Küstenstädten) gibt es eine Schicht wohlhabender Bürger, die sich nicht mehr um den unmittelbaren Lebens</w:t>
            </w:r>
            <w:bookmarkStart w:id="0" w:name="_GoBack"/>
            <w:bookmarkEnd w:id="0"/>
            <w:r w:rsidRPr="0030335D"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  <w:t>unterhalt kümmern müssen. </w:t>
            </w:r>
          </w:p>
        </w:tc>
        <w:tc>
          <w:tcPr>
            <w:tcW w:w="4531" w:type="dxa"/>
          </w:tcPr>
          <w:p w:rsidR="0030335D" w:rsidRDefault="0030335D"/>
        </w:tc>
      </w:tr>
      <w:tr w:rsidR="0030335D" w:rsidRPr="0030335D" w:rsidTr="0030335D">
        <w:tc>
          <w:tcPr>
            <w:tcW w:w="4531" w:type="dxa"/>
          </w:tcPr>
          <w:p w:rsidR="0030335D" w:rsidRPr="0030335D" w:rsidRDefault="0030335D" w:rsidP="0030335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</w:pPr>
            <w:r w:rsidRPr="0030335D"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  <w:t>Durch Handelsbeziehungen sind Menschen in den griechischen Kolonialstädten in Verbindung mit Menschen in anderen Kulturen (z. B. Ägypten, Babylonien, wahrscheinlich auch Indien, ...) </w:t>
            </w:r>
          </w:p>
        </w:tc>
        <w:tc>
          <w:tcPr>
            <w:tcW w:w="4531" w:type="dxa"/>
          </w:tcPr>
          <w:p w:rsidR="0030335D" w:rsidRPr="0030335D" w:rsidRDefault="0030335D" w:rsidP="0030335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</w:pPr>
          </w:p>
        </w:tc>
      </w:tr>
      <w:tr w:rsidR="0030335D" w:rsidRPr="0030335D" w:rsidTr="0030335D">
        <w:tc>
          <w:tcPr>
            <w:tcW w:w="4531" w:type="dxa"/>
          </w:tcPr>
          <w:p w:rsidR="0030335D" w:rsidRPr="0030335D" w:rsidRDefault="0030335D" w:rsidP="0030335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</w:pPr>
            <w:r w:rsidRPr="0030335D"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  <w:t xml:space="preserve">Im Unterschied zu Menschen in anderen Kulturen glauben "die Griechen", dass die Welt in ihrer Vielfältigkeit und Widersprüchlichkeit auf einem ganz bestimmten kosmischen </w:t>
            </w:r>
            <w:proofErr w:type="spellStart"/>
            <w:r w:rsidRPr="0030335D"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  <w:t>Ursprinzip</w:t>
            </w:r>
            <w:proofErr w:type="spellEnd"/>
            <w:r w:rsidRPr="0030335D"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  <w:t xml:space="preserve"> ("ARCHÉ") beruhe. Sie begreifen die </w:t>
            </w:r>
            <w:proofErr w:type="gramStart"/>
            <w:r w:rsidRPr="0030335D"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  <w:t>Welt  vor</w:t>
            </w:r>
            <w:proofErr w:type="gramEnd"/>
            <w:r w:rsidRPr="0030335D"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  <w:t xml:space="preserve"> allem als KOSMOS (= </w:t>
            </w:r>
            <w:proofErr w:type="spellStart"/>
            <w:r w:rsidRPr="0030335D"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  <w:t>rdnung</w:t>
            </w:r>
            <w:proofErr w:type="spellEnd"/>
            <w:r w:rsidRPr="0030335D"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  <w:t>, Struktur). Und sie glauben, dass sowohl das Leben des einzelnen Menschen als auch die Welt als auch der Kosmos eingebettet seien in eine Art grundlegendes Schicksal, in einen "tieferen Sinn" (NOUS) </w:t>
            </w:r>
          </w:p>
        </w:tc>
        <w:tc>
          <w:tcPr>
            <w:tcW w:w="4531" w:type="dxa"/>
          </w:tcPr>
          <w:p w:rsidR="0030335D" w:rsidRPr="0030335D" w:rsidRDefault="0030335D" w:rsidP="0030335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</w:pPr>
          </w:p>
        </w:tc>
      </w:tr>
      <w:tr w:rsidR="0030335D" w:rsidRPr="0030335D" w:rsidTr="0030335D">
        <w:tc>
          <w:tcPr>
            <w:tcW w:w="4531" w:type="dxa"/>
          </w:tcPr>
          <w:p w:rsidR="0030335D" w:rsidRPr="0030335D" w:rsidRDefault="0030335D" w:rsidP="0030335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</w:pPr>
            <w:r w:rsidRPr="0030335D"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  <w:t>Im Unterschied zu anderen Gottheiten sind die griechischen Götter - zumindest seit Homer im 8. Jh. - sehr diesseitig, durchaus menschlich, auch fehlerhaft. Nur durch ihre Unsterblichkeit unterscheiden sie sich von den Menschen. </w:t>
            </w:r>
          </w:p>
          <w:p w:rsidR="0030335D" w:rsidRPr="0030335D" w:rsidRDefault="0030335D" w:rsidP="0030335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</w:pPr>
            <w:r w:rsidRPr="0030335D"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  <w:t>Im Unterschied zu anderen Kulturen sind die Priester in vielen Städten nicht die politischen Entscheidungsträger bzw. mit ihnen nicht / nur lose assoziiert. </w:t>
            </w:r>
          </w:p>
        </w:tc>
        <w:tc>
          <w:tcPr>
            <w:tcW w:w="4531" w:type="dxa"/>
          </w:tcPr>
          <w:p w:rsidR="0030335D" w:rsidRPr="0030335D" w:rsidRDefault="0030335D" w:rsidP="0030335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</w:pPr>
          </w:p>
        </w:tc>
      </w:tr>
      <w:tr w:rsidR="0030335D" w:rsidRPr="0030335D" w:rsidTr="0030335D">
        <w:tc>
          <w:tcPr>
            <w:tcW w:w="4531" w:type="dxa"/>
          </w:tcPr>
          <w:p w:rsidR="0030335D" w:rsidRPr="0030335D" w:rsidRDefault="0030335D" w:rsidP="0030335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</w:pPr>
            <w:r w:rsidRPr="0030335D"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  <w:t xml:space="preserve">Es gibt keine "staatliche Zentralgewalt" für den gesamten Kulturraum. Die einzelnen Städte haben zwar lose Beziehungen zu ihren "Mutterstädten", sie sind aber wirtschaftlich und politisch relativ unabhängig. Gemeinsam </w:t>
            </w:r>
            <w:proofErr w:type="gramStart"/>
            <w:r w:rsidRPr="0030335D"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  <w:t>ist</w:t>
            </w:r>
            <w:proofErr w:type="gramEnd"/>
            <w:r w:rsidRPr="0030335D"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  <w:t xml:space="preserve"> ihnen aber die Sprache und die Kultur. </w:t>
            </w:r>
          </w:p>
        </w:tc>
        <w:tc>
          <w:tcPr>
            <w:tcW w:w="4531" w:type="dxa"/>
          </w:tcPr>
          <w:p w:rsidR="0030335D" w:rsidRPr="0030335D" w:rsidRDefault="0030335D" w:rsidP="0030335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</w:pPr>
          </w:p>
        </w:tc>
      </w:tr>
      <w:tr w:rsidR="0030335D" w:rsidRPr="0030335D" w:rsidTr="0030335D">
        <w:tc>
          <w:tcPr>
            <w:tcW w:w="4531" w:type="dxa"/>
          </w:tcPr>
          <w:p w:rsidR="0030335D" w:rsidRPr="0030335D" w:rsidRDefault="0030335D" w:rsidP="0030335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</w:pPr>
            <w:r w:rsidRPr="0030335D"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  <w:t>Die "alten Griechen" lieben die Ausei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  <w:t>n</w:t>
            </w:r>
            <w:r w:rsidRPr="0030335D"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  <w:t>andersetzung im Wettk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  <w:t>ampf. Neben den bekannten olymp</w:t>
            </w:r>
            <w:r w:rsidRPr="0030335D"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  <w:t xml:space="preserve">ischen Sportwettkämpfen gibt es auch Theaterwettkämpfe (Dionysien), rhetorische Wettkämpfe, logisch-argumentative Wettkämpfe </w:t>
            </w:r>
            <w:proofErr w:type="spellStart"/>
            <w:r w:rsidRPr="0030335D"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  <w:t>uam</w:t>
            </w:r>
            <w:proofErr w:type="spellEnd"/>
            <w:r w:rsidRPr="0030335D"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  <w:t>. </w:t>
            </w:r>
          </w:p>
        </w:tc>
        <w:tc>
          <w:tcPr>
            <w:tcW w:w="4531" w:type="dxa"/>
          </w:tcPr>
          <w:p w:rsidR="0030335D" w:rsidRPr="0030335D" w:rsidRDefault="0030335D" w:rsidP="0030335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</w:pPr>
          </w:p>
        </w:tc>
      </w:tr>
      <w:tr w:rsidR="0030335D" w:rsidRPr="0030335D" w:rsidTr="0030335D">
        <w:tc>
          <w:tcPr>
            <w:tcW w:w="4531" w:type="dxa"/>
          </w:tcPr>
          <w:p w:rsidR="0030335D" w:rsidRPr="0030335D" w:rsidRDefault="0030335D" w:rsidP="0030335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</w:pPr>
            <w:r w:rsidRPr="0030335D"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  <w:t>Anscheinend ist die griechische Sprache eine Sprache, die das Denken in Polaritäten und Ja-/Nein-Gegensätzen stark erleichtert. Unterstützt wird das zusätzlich durch eine Buchstabenschrift. (zum Vergleich: Bilderschrift im asiatischen Kulturraum) </w:t>
            </w:r>
          </w:p>
        </w:tc>
        <w:tc>
          <w:tcPr>
            <w:tcW w:w="4531" w:type="dxa"/>
          </w:tcPr>
          <w:p w:rsidR="0030335D" w:rsidRPr="0030335D" w:rsidRDefault="0030335D" w:rsidP="0030335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</w:pPr>
          </w:p>
        </w:tc>
      </w:tr>
      <w:tr w:rsidR="0030335D" w:rsidRPr="0030335D" w:rsidTr="0030335D">
        <w:tc>
          <w:tcPr>
            <w:tcW w:w="4531" w:type="dxa"/>
          </w:tcPr>
          <w:p w:rsidR="0030335D" w:rsidRPr="0030335D" w:rsidRDefault="0030335D" w:rsidP="0030335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</w:pPr>
          </w:p>
        </w:tc>
        <w:tc>
          <w:tcPr>
            <w:tcW w:w="4531" w:type="dxa"/>
          </w:tcPr>
          <w:p w:rsidR="0030335D" w:rsidRPr="0030335D" w:rsidRDefault="0030335D" w:rsidP="0030335D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de-AT"/>
              </w:rPr>
            </w:pPr>
          </w:p>
        </w:tc>
      </w:tr>
    </w:tbl>
    <w:p w:rsidR="0030335D" w:rsidRPr="0030335D" w:rsidRDefault="0030335D" w:rsidP="0030335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</w:p>
    <w:p w:rsidR="0030335D" w:rsidRDefault="0030335D"/>
    <w:p w:rsidR="0030335D" w:rsidRDefault="0030335D"/>
    <w:sectPr w:rsidR="003033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10DBC"/>
    <w:multiLevelType w:val="multilevel"/>
    <w:tmpl w:val="1CBE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5D"/>
    <w:rsid w:val="00017C55"/>
    <w:rsid w:val="00027FC4"/>
    <w:rsid w:val="00053BCC"/>
    <w:rsid w:val="00084EDC"/>
    <w:rsid w:val="00085AE0"/>
    <w:rsid w:val="000C0D80"/>
    <w:rsid w:val="001150D6"/>
    <w:rsid w:val="00116BD2"/>
    <w:rsid w:val="00142277"/>
    <w:rsid w:val="00182993"/>
    <w:rsid w:val="00184789"/>
    <w:rsid w:val="00187B37"/>
    <w:rsid w:val="00196AC7"/>
    <w:rsid w:val="00197653"/>
    <w:rsid w:val="001B6430"/>
    <w:rsid w:val="001C7B57"/>
    <w:rsid w:val="001D2529"/>
    <w:rsid w:val="001E2322"/>
    <w:rsid w:val="001F5FA6"/>
    <w:rsid w:val="002041E3"/>
    <w:rsid w:val="0020797C"/>
    <w:rsid w:val="00211E32"/>
    <w:rsid w:val="00217D21"/>
    <w:rsid w:val="0022064A"/>
    <w:rsid w:val="00220E7B"/>
    <w:rsid w:val="00236838"/>
    <w:rsid w:val="002426CC"/>
    <w:rsid w:val="002639B8"/>
    <w:rsid w:val="00294952"/>
    <w:rsid w:val="00296352"/>
    <w:rsid w:val="002D1B08"/>
    <w:rsid w:val="002F5BA7"/>
    <w:rsid w:val="002F7821"/>
    <w:rsid w:val="0030335D"/>
    <w:rsid w:val="00317410"/>
    <w:rsid w:val="00327DA5"/>
    <w:rsid w:val="00346BF3"/>
    <w:rsid w:val="00367420"/>
    <w:rsid w:val="00381DDD"/>
    <w:rsid w:val="00385149"/>
    <w:rsid w:val="003852E4"/>
    <w:rsid w:val="003871E2"/>
    <w:rsid w:val="003A0EDE"/>
    <w:rsid w:val="003A1B3E"/>
    <w:rsid w:val="003A208A"/>
    <w:rsid w:val="003B2056"/>
    <w:rsid w:val="003B632C"/>
    <w:rsid w:val="003F52B7"/>
    <w:rsid w:val="004048B8"/>
    <w:rsid w:val="0041583B"/>
    <w:rsid w:val="00447D4D"/>
    <w:rsid w:val="00473FE1"/>
    <w:rsid w:val="00474988"/>
    <w:rsid w:val="00490D87"/>
    <w:rsid w:val="004C3D63"/>
    <w:rsid w:val="004C618E"/>
    <w:rsid w:val="004E23B0"/>
    <w:rsid w:val="004F138E"/>
    <w:rsid w:val="0053014E"/>
    <w:rsid w:val="005307B5"/>
    <w:rsid w:val="00542784"/>
    <w:rsid w:val="0057326D"/>
    <w:rsid w:val="005C50FF"/>
    <w:rsid w:val="005D01CE"/>
    <w:rsid w:val="005D30F0"/>
    <w:rsid w:val="005E7078"/>
    <w:rsid w:val="005F3269"/>
    <w:rsid w:val="006151AE"/>
    <w:rsid w:val="00621636"/>
    <w:rsid w:val="00644A48"/>
    <w:rsid w:val="00645A5B"/>
    <w:rsid w:val="00651977"/>
    <w:rsid w:val="00652A97"/>
    <w:rsid w:val="00662077"/>
    <w:rsid w:val="006733B8"/>
    <w:rsid w:val="006760B9"/>
    <w:rsid w:val="006826EB"/>
    <w:rsid w:val="006A02A4"/>
    <w:rsid w:val="006C01F8"/>
    <w:rsid w:val="006C37A8"/>
    <w:rsid w:val="006C7C6C"/>
    <w:rsid w:val="006D2884"/>
    <w:rsid w:val="006D69F3"/>
    <w:rsid w:val="00721B2F"/>
    <w:rsid w:val="0073390D"/>
    <w:rsid w:val="0073442C"/>
    <w:rsid w:val="00741BB4"/>
    <w:rsid w:val="00756BBD"/>
    <w:rsid w:val="007637AF"/>
    <w:rsid w:val="00770775"/>
    <w:rsid w:val="00791E6F"/>
    <w:rsid w:val="0081108B"/>
    <w:rsid w:val="008241F9"/>
    <w:rsid w:val="0083265A"/>
    <w:rsid w:val="00835708"/>
    <w:rsid w:val="00835745"/>
    <w:rsid w:val="008471A1"/>
    <w:rsid w:val="00854470"/>
    <w:rsid w:val="008553F3"/>
    <w:rsid w:val="00863A5F"/>
    <w:rsid w:val="0089196B"/>
    <w:rsid w:val="00894A06"/>
    <w:rsid w:val="008C3A2E"/>
    <w:rsid w:val="008C3C60"/>
    <w:rsid w:val="008D0F4D"/>
    <w:rsid w:val="008D4557"/>
    <w:rsid w:val="008F136D"/>
    <w:rsid w:val="00927C4B"/>
    <w:rsid w:val="00944778"/>
    <w:rsid w:val="009519D6"/>
    <w:rsid w:val="00954800"/>
    <w:rsid w:val="009872A0"/>
    <w:rsid w:val="009A432E"/>
    <w:rsid w:val="009A4BE9"/>
    <w:rsid w:val="009B69B2"/>
    <w:rsid w:val="009B701C"/>
    <w:rsid w:val="009E2278"/>
    <w:rsid w:val="009E2AC3"/>
    <w:rsid w:val="00A02212"/>
    <w:rsid w:val="00A14C52"/>
    <w:rsid w:val="00A1569B"/>
    <w:rsid w:val="00A275FC"/>
    <w:rsid w:val="00A3417D"/>
    <w:rsid w:val="00A43FAA"/>
    <w:rsid w:val="00A701C7"/>
    <w:rsid w:val="00A86350"/>
    <w:rsid w:val="00A91AA8"/>
    <w:rsid w:val="00A958CE"/>
    <w:rsid w:val="00AD22D1"/>
    <w:rsid w:val="00AF630B"/>
    <w:rsid w:val="00AF67A8"/>
    <w:rsid w:val="00B00B35"/>
    <w:rsid w:val="00B2099C"/>
    <w:rsid w:val="00B2122A"/>
    <w:rsid w:val="00B47733"/>
    <w:rsid w:val="00B50908"/>
    <w:rsid w:val="00B54A91"/>
    <w:rsid w:val="00B55889"/>
    <w:rsid w:val="00B575BD"/>
    <w:rsid w:val="00B77EEB"/>
    <w:rsid w:val="00B815C2"/>
    <w:rsid w:val="00BA113B"/>
    <w:rsid w:val="00BB7CE8"/>
    <w:rsid w:val="00BC563C"/>
    <w:rsid w:val="00BD5542"/>
    <w:rsid w:val="00C0052A"/>
    <w:rsid w:val="00C0099D"/>
    <w:rsid w:val="00C412EB"/>
    <w:rsid w:val="00C426C0"/>
    <w:rsid w:val="00C57A19"/>
    <w:rsid w:val="00C81EA4"/>
    <w:rsid w:val="00C8741A"/>
    <w:rsid w:val="00C961A2"/>
    <w:rsid w:val="00CA69B1"/>
    <w:rsid w:val="00CD5EA0"/>
    <w:rsid w:val="00D106D7"/>
    <w:rsid w:val="00D6290C"/>
    <w:rsid w:val="00D724DE"/>
    <w:rsid w:val="00D72C46"/>
    <w:rsid w:val="00DA6709"/>
    <w:rsid w:val="00DB2C8D"/>
    <w:rsid w:val="00DE317B"/>
    <w:rsid w:val="00DE7CB4"/>
    <w:rsid w:val="00DF62A1"/>
    <w:rsid w:val="00E05151"/>
    <w:rsid w:val="00E058F6"/>
    <w:rsid w:val="00E26879"/>
    <w:rsid w:val="00E43F6D"/>
    <w:rsid w:val="00E567FF"/>
    <w:rsid w:val="00E73ED0"/>
    <w:rsid w:val="00E914DD"/>
    <w:rsid w:val="00ED0400"/>
    <w:rsid w:val="00ED0691"/>
    <w:rsid w:val="00ED4731"/>
    <w:rsid w:val="00F01D64"/>
    <w:rsid w:val="00F17E27"/>
    <w:rsid w:val="00F302D6"/>
    <w:rsid w:val="00F434BB"/>
    <w:rsid w:val="00F64CB3"/>
    <w:rsid w:val="00F65B75"/>
    <w:rsid w:val="00F7417F"/>
    <w:rsid w:val="00F868CC"/>
    <w:rsid w:val="00FD54AA"/>
    <w:rsid w:val="00FE2694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BD90E-13E9-4ED3-8407-93FD65BE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0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2013-11-12T06:01:00Z</dcterms:created>
  <dcterms:modified xsi:type="dcterms:W3CDTF">2013-11-12T06:06:00Z</dcterms:modified>
</cp:coreProperties>
</file>